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08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89525"/>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Perez-Tenessa Alejandro</w:t>
              </w:r>
            </w:hyperlink>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Employers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EIG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tcBorders>
              <w:top w:val="single" w:sz="8" w:color="0000EE"/>
            </w:tcBorders>
          </w:tcPr>
          <w:p>
            <w:pPr>
              <w:spacing w:after="0"/>
              <w:rPr>
                <w:sz w:val="5"/>
                <w:szCs w:val="5"/>
                <w:color w:val="auto"/>
              </w:rPr>
            </w:pPr>
          </w:p>
        </w:tc>
        <w:tc>
          <w:tcPr>
            <w:tcW w:w="16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2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16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5340 KIETZKE LANE</w:t>
            </w:r>
          </w:p>
        </w:tc>
        <w:tc>
          <w:tcPr>
            <w:tcW w:w="1380" w:type="dxa"/>
            <w:vAlign w:val="bottom"/>
          </w:tcPr>
          <w:p>
            <w:pPr>
              <w:spacing w:after="0"/>
              <w:rPr>
                <w:sz w:val="10"/>
                <w:szCs w:val="10"/>
                <w:color w:val="auto"/>
              </w:rPr>
            </w:pPr>
          </w:p>
        </w:tc>
        <w:tc>
          <w:tcPr>
            <w:tcW w:w="2300" w:type="dxa"/>
            <w:vAlign w:val="bottom"/>
            <w:gridSpan w:val="3"/>
            <w:vMerge w:val="continue"/>
          </w:tcPr>
          <w:p>
            <w:pPr>
              <w:spacing w:after="0"/>
              <w:rPr>
                <w:sz w:val="10"/>
                <w:szCs w:val="10"/>
                <w:color w:val="auto"/>
              </w:rPr>
            </w:pPr>
          </w:p>
        </w:tc>
        <w:tc>
          <w:tcPr>
            <w:tcW w:w="16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202</w:t>
            </w: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40" w:type="dxa"/>
            <w:vAlign w:val="bottom"/>
            <w:tcBorders>
              <w:bottom w:val="single" w:sz="8" w:color="2C2C2C"/>
            </w:tcBorders>
          </w:tcPr>
          <w:p>
            <w:pPr>
              <w:spacing w:after="0"/>
              <w:rPr>
                <w:sz w:val="12"/>
                <w:szCs w:val="12"/>
                <w:color w:val="auto"/>
              </w:rPr>
            </w:pPr>
          </w:p>
        </w:tc>
        <w:tc>
          <w:tcPr>
            <w:tcW w:w="162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0"/>
          <w:szCs w:val="20"/>
          <w:color w:val="auto"/>
        </w:rPr>
      </w:pPr>
    </w:p>
    <w:p>
      <w:pPr>
        <w:ind w:left="120"/>
        <w:spacing w:after="0"/>
        <w:tabs>
          <w:tab w:leader="none" w:pos="1320" w:val="left"/>
          <w:tab w:leader="none" w:pos="2560" w:val="left"/>
        </w:tabs>
        <w:rPr>
          <w:sz w:val="20"/>
          <w:szCs w:val="20"/>
          <w:color w:val="auto"/>
        </w:rPr>
      </w:pPr>
      <w:r>
        <w:rPr>
          <w:rFonts w:ascii="Times New Roman" w:cs="Times New Roman" w:eastAsia="Times New Roman" w:hAnsi="Times New Roman"/>
          <w:sz w:val="17"/>
          <w:szCs w:val="17"/>
          <w:color w:val="0000FF"/>
        </w:rPr>
        <w:t>RENO</w:t>
      </w:r>
      <w:r>
        <w:rPr>
          <w:sz w:val="20"/>
          <w:szCs w:val="20"/>
          <w:color w:val="auto"/>
        </w:rPr>
        <w:tab/>
      </w:r>
      <w:r>
        <w:rPr>
          <w:rFonts w:ascii="Times New Roman" w:cs="Times New Roman" w:eastAsia="Times New Roman" w:hAnsi="Times New Roman"/>
          <w:sz w:val="17"/>
          <w:szCs w:val="17"/>
          <w:color w:val="0000FF"/>
        </w:rPr>
        <w:t>NV</w:t>
      </w:r>
      <w:r>
        <w:rPr>
          <w:sz w:val="20"/>
          <w:szCs w:val="20"/>
          <w:color w:val="auto"/>
        </w:rPr>
        <w:tab/>
      </w:r>
      <w:r>
        <w:rPr>
          <w:rFonts w:ascii="Times New Roman" w:cs="Times New Roman" w:eastAsia="Times New Roman" w:hAnsi="Times New Roman"/>
          <w:sz w:val="16"/>
          <w:szCs w:val="16"/>
          <w:color w:val="0000FF"/>
        </w:rPr>
        <w:t>89511</w:t>
      </w:r>
    </w:p>
    <w:p>
      <w:pPr>
        <w:spacing w:after="0" w:line="326" w:lineRule="exact"/>
        <w:rPr>
          <w:sz w:val="20"/>
          <w:szCs w:val="20"/>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9"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05/28/2026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30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87"/>
              </w:rPr>
              <w:t>2,196</w:t>
            </w:r>
            <w:r>
              <w:rPr>
                <w:rFonts w:ascii="Times New Roman" w:cs="Times New Roman" w:eastAsia="Times New Roman" w:hAnsi="Times New Roman"/>
                <w:sz w:val="21"/>
                <w:szCs w:val="21"/>
                <w:color w:val="008000"/>
                <w:w w:val="87"/>
                <w:vertAlign w:val="superscript"/>
              </w:rPr>
              <w:t>(1)</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10,991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2"/>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5"/>
                <w:szCs w:val="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120" w:type="dxa"/>
            <w:vAlign w:val="bottom"/>
          </w:tcPr>
          <w:p>
            <w:pPr>
              <w:spacing w:after="0"/>
              <w:rPr>
                <w:sz w:val="5"/>
                <w:szCs w:val="5"/>
                <w:color w:val="auto"/>
              </w:rPr>
            </w:pPr>
          </w:p>
        </w:tc>
        <w:tc>
          <w:tcPr>
            <w:tcW w:w="560" w:type="dxa"/>
            <w:vAlign w:val="bottom"/>
            <w:vMerge w:val="restart"/>
          </w:tcPr>
          <w:p>
            <w:pPr>
              <w:ind w:left="2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55</w:t>
            </w: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6"/>
                <w:szCs w:val="6"/>
                <w:color w:val="auto"/>
              </w:rPr>
            </w:pPr>
          </w:p>
        </w:tc>
        <w:tc>
          <w:tcPr>
            <w:tcW w:w="11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05/27/2026</w:t>
            </w:r>
          </w:p>
        </w:tc>
        <w:tc>
          <w:tcPr>
            <w:tcW w:w="1100" w:type="dxa"/>
            <w:vAlign w:val="bottom"/>
          </w:tcPr>
          <w:p>
            <w:pPr>
              <w:spacing w:after="0"/>
              <w:rPr>
                <w:sz w:val="6"/>
                <w:szCs w:val="6"/>
                <w:color w:val="auto"/>
              </w:rPr>
            </w:pPr>
          </w:p>
        </w:tc>
        <w:tc>
          <w:tcPr>
            <w:tcW w:w="62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6"/>
                <w:szCs w:val="6"/>
                <w:color w:val="auto"/>
              </w:rPr>
            </w:pPr>
          </w:p>
        </w:tc>
        <w:tc>
          <w:tcPr>
            <w:tcW w:w="78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55</w:t>
            </w: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406</w:t>
            </w:r>
          </w:p>
        </w:tc>
        <w:tc>
          <w:tcPr>
            <w:tcW w:w="28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$0.01</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-2204720</wp:posOffset>
            </wp:positionV>
            <wp:extent cx="29210" cy="2209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0980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that vest on May 28, 2027.</w:t>
      </w:r>
    </w:p>
    <w:p>
      <w:pPr>
        <w:spacing w:after="0" w:line="45" w:lineRule="exact"/>
        <w:rPr>
          <w:rFonts w:ascii="Times New Roman" w:cs="Times New Roman" w:eastAsia="Times New Roman" w:hAnsi="Times New Roman"/>
          <w:sz w:val="13"/>
          <w:szCs w:val="13"/>
          <w:color w:val="008000"/>
        </w:rPr>
      </w:pPr>
    </w:p>
    <w:p>
      <w:pPr>
        <w:ind w:left="40" w:right="28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("DERs") accrued on vested restricted stock units ("RSUs") previously granted to the reporting person where the reporting person has voluntarily deferred delivery of such RSUs until six months following termination of service on the board of directors. The DERs become exercisable proportionately with the RSUs to which they relate. Each DER is the economic equivalent of one share of common stock of Employers Holdings, Inc.</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Lindsay Holt, attorney in</w:t>
            </w: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8"/>
              </w:rPr>
              <w:t>05/29/2026</w:t>
            </w:r>
          </w:p>
        </w:tc>
        <w:tc>
          <w:tcPr>
            <w:tcW w:w="0" w:type="dxa"/>
            <w:vAlign w:val="bottom"/>
          </w:tcPr>
          <w:p>
            <w:pPr>
              <w:spacing w:after="0"/>
              <w:rPr>
                <w:sz w:val="1"/>
                <w:szCs w:val="1"/>
                <w:color w:val="auto"/>
              </w:rPr>
            </w:pPr>
          </w:p>
        </w:tc>
      </w:tr>
      <w:tr>
        <w:trPr>
          <w:trHeight w:val="84"/>
        </w:trPr>
        <w:tc>
          <w:tcPr>
            <w:tcW w:w="26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3"/>
              </w:rPr>
              <w:t>fact</w:t>
            </w:r>
          </w:p>
        </w:tc>
        <w:tc>
          <w:tcPr>
            <w:tcW w:w="164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top w:val="single" w:sz="8" w:color="auto"/>
              <w:bottom w:val="single" w:sz="8" w:color="auto"/>
            </w:tcBorders>
            <w:vMerge w:val="continue"/>
          </w:tcPr>
          <w:p>
            <w:pPr>
              <w:spacing w:after="0"/>
              <w:rPr>
                <w:sz w:val="7"/>
                <w:szCs w:val="7"/>
                <w:color w:val="auto"/>
              </w:rPr>
            </w:pPr>
          </w:p>
        </w:tc>
        <w:tc>
          <w:tcPr>
            <w:tcW w:w="164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14241" TargetMode="External"/><Relationship Id="rId14" Type="http://schemas.openxmlformats.org/officeDocument/2006/relationships/hyperlink" Target="http://www.sec.gov/cgi-bin/browse-edgar?action=getcompany&amp;CIK=00013790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2026-05-29T17:35:07Z</dcterms:created>
  <dcterms:modified xsi:type="dcterms:W3CDTF">2026-05-29T17:35:07Z</dcterms:modified>
</cp:coreProperties>
</file>